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عبدالقادر عواد</w:t>
      </w:r>
    </w:p>
    <w:p>
      <w:pPr>
        <w:spacing w:after="80"/>
      </w:pPr>
      <w:r>
        <w:rPr>
          <w:rFonts w:ascii="Arial" w:hAnsi="Arial"/>
          <w:b/>
          <w:color w:val="2563EB"/>
          <w:sz w:val="22"/>
        </w:rPr>
        <w:t>مدير تدقيق ومحاسبة أول</w:t>
      </w:r>
    </w:p>
    <w:p>
      <w:pPr>
        <w:spacing w:after="200"/>
      </w:pPr>
      <w:r>
        <w:rPr>
          <w:rFonts w:ascii="Arial" w:hAnsi="Arial"/>
          <w:b w:val="0"/>
          <w:color w:val="475569"/>
          <w:sz w:val="17"/>
        </w:rPr>
        <w:t>📍 عمان - أبو نصير، الأردن   |   ✉️ abedawwad199@gmail.com   |   📞 +962 77 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محاسب ومدقق مالي تنفيذي يتمتع بخبرة متقدمة تتجاوز 5 سنوات في التدقيق المالي، إعداد التقارير المالية، والالتزام الضريبي بمعايير عالية من الدقة والكفاءة. أثبت نجاحه في إدارة العمليات المحاسبية المعقدة، وتقييم المخاطر التنظيمية، وتقديم رؤى مالية استراتيجية تدعم الإدارة العليا في اتخاذ قرارات رشيدة لتقليل الالتزامات الضريبية وتعظيم العوائد. محترف في نمذجة البيانات المادية باستخدام أدوات تحليل البيانات المتقدمة وإدارة البوابات الحكومية.</w:t>
      </w:r>
    </w:p>
    <w:p>
      <w:pPr>
        <w:spacing w:before="160" w:after="60"/>
        <w:pBdr>
          <w:bottom w:val="single" w:sz="14" w:space="2" w:color="2563EB"/>
        </w:pBdr>
      </w:pPr>
      <w:r>
        <w:rPr>
          <w:rFonts w:ascii="Arial" w:hAnsi="Arial"/>
          <w:b/>
          <w:color w:val="0F172A"/>
          <w:sz w:val="21"/>
        </w:rPr>
        <w:t>KEY CAREER ACHIEVEMENTS</w:t>
      </w:r>
    </w:p>
    <w:p>
      <w:pPr>
        <w:pStyle w:val="ListBullet"/>
        <w:spacing w:before="0" w:after="40"/>
      </w:pPr>
      <w:r>
        <w:rPr>
          <w:rFonts w:ascii="Arial" w:hAnsi="Arial"/>
          <w:b w:val="0"/>
          <w:color w:val="334155"/>
          <w:sz w:val="18"/>
        </w:rPr>
        <w:t>إنجاز وتدقيق أكثر من 50+ قائمة مالية وحسابية للشركات بكفاءة متناهية، مما ضمن الالتزام التام بالمعايير الدولية والقوانين الحكومية بنسبة امتثال 100%.</w:t>
      </w:r>
    </w:p>
    <w:p>
      <w:pPr>
        <w:pStyle w:val="ListBullet"/>
        <w:spacing w:before="0" w:after="40"/>
      </w:pPr>
      <w:r>
        <w:rPr>
          <w:rFonts w:ascii="Arial" w:hAnsi="Arial"/>
          <w:b w:val="0"/>
          <w:color w:val="334155"/>
          <w:sz w:val="18"/>
        </w:rPr>
        <w:t>تطوير نماذج مالية متقدمة باستخدام Excel (Pivot Tables &amp; XLOOKUP) ساهمت في تقليص وقت معالجة وتحليل البيانات المالية بنسبة 35%.</w:t>
      </w:r>
    </w:p>
    <w:p>
      <w:pPr>
        <w:pStyle w:val="ListBullet"/>
        <w:spacing w:before="0" w:after="40"/>
      </w:pPr>
      <w:r>
        <w:rPr>
          <w:rFonts w:ascii="Arial" w:hAnsi="Arial"/>
          <w:b w:val="0"/>
          <w:color w:val="334155"/>
          <w:sz w:val="18"/>
        </w:rPr>
        <w:t>تحديد معالجات محاسبية دقيقة ساهمت في تخفيض الالتزامات الضريبية غير الضرورية وتحسين التدفقات النقدية للعملاء.</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مدقق حسابات أول</w:t>
      </w:r>
      <w:r>
        <w:rPr>
          <w:rFonts w:ascii="Arial" w:hAnsi="Arial"/>
          <w:b/>
          <w:color w:val="2563EB"/>
          <w:sz w:val="19"/>
        </w:rPr>
        <w:t xml:space="preserve">  •  مكتب الصابر للمحاسبين القانونيين</w:t>
      </w:r>
      <w:r>
        <w:rPr>
          <w:rFonts w:ascii="Arial" w:hAnsi="Arial"/>
          <w:b w:val="0"/>
          <w:color w:val="64748B"/>
          <w:sz w:val="17"/>
        </w:rPr>
        <w:t xml:space="preserve">   [2022 - حتى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إجراء عمليات التدقيق المالي والمحاسبي الشاملة للشركات، مع التركيز على التدقيق الضريبي والرقابة المؤسسية لضمان الامتثال التام للأنظمة الحكومية.</w:t>
      </w:r>
    </w:p>
    <w:p>
      <w:pPr>
        <w:pStyle w:val="ListBullet"/>
        <w:spacing w:before="0" w:after="40"/>
      </w:pPr>
      <w:r>
        <w:rPr>
          <w:rFonts w:ascii="Arial" w:hAnsi="Arial"/>
          <w:b w:val="0"/>
          <w:color w:val="334155"/>
          <w:sz w:val="18"/>
        </w:rPr>
        <w:t>إعداد وتحليل القوائم المالية بدرجة عالية من الدقة لضمان توافقها الكامل مع المعايير الدولية لإعداد التقارير المالية (IFRS).</w:t>
      </w:r>
    </w:p>
    <w:p>
      <w:pPr>
        <w:pStyle w:val="ListBullet"/>
        <w:spacing w:before="0" w:after="40"/>
      </w:pPr>
      <w:r>
        <w:rPr>
          <w:rFonts w:ascii="Arial" w:hAnsi="Arial"/>
          <w:b w:val="0"/>
          <w:color w:val="334155"/>
          <w:sz w:val="18"/>
        </w:rPr>
        <w:t>توفير تقارير مالية تفصيلية ومقترحات استراتيجية مدعومة بالبيانات لدعم الإدارة العليا في اتخاذ القرارات الرشيدة.</w:t>
      </w:r>
    </w:p>
    <w:p>
      <w:pPr>
        <w:pStyle w:val="ListBullet"/>
        <w:spacing w:before="0" w:after="40"/>
      </w:pPr>
      <w:r>
        <w:rPr>
          <w:rFonts w:ascii="Arial" w:hAnsi="Arial"/>
          <w:b w:val="0"/>
          <w:color w:val="334155"/>
          <w:sz w:val="18"/>
        </w:rPr>
        <w:t>توظيف مهارات مايكروسوفت إكسل المتقدمة لتطوير نماذج وتقارير مالية معقدة تشمل الجداول المحورية (Pivot Tables) والدوال المتقدمة (VLOOKUP &amp; XLOOKUP).</w:t>
      </w:r>
    </w:p>
    <w:p>
      <w:pPr>
        <w:pStyle w:val="ListBullet"/>
        <w:spacing w:before="0" w:after="40"/>
      </w:pPr>
      <w:r>
        <w:rPr>
          <w:rFonts w:ascii="Arial" w:hAnsi="Arial"/>
          <w:b w:val="0"/>
          <w:color w:val="334155"/>
          <w:sz w:val="18"/>
        </w:rPr>
        <w:t>التعاون الوثيق مع العملاء لتحسين استراتيجياتهم المالية، رفع الأداء التشغيلي، وتقليل الالتزامات الضريبية بشكل قانوني وفعال.</w:t>
      </w:r>
    </w:p>
    <w:p>
      <w:pPr>
        <w:spacing w:before="20" w:after="40"/>
        <w:ind w:left="288"/>
      </w:pPr>
      <w:r>
        <w:rPr>
          <w:rFonts w:ascii="Arial" w:hAnsi="Arial"/>
          <w:b/>
          <w:color w:val="2563EB"/>
          <w:sz w:val="17"/>
        </w:rPr>
        <w:t xml:space="preserve">⚡ Key Impact: </w:t>
      </w:r>
      <w:r>
        <w:rPr>
          <w:rFonts w:ascii="Arial" w:hAnsi="Arial"/>
          <w:b w:val="0"/>
          <w:color w:val="0F172A"/>
          <w:sz w:val="17"/>
        </w:rPr>
        <w:t>نجح في تحسين كفاءة مراجعة الحسابات وتقليص زمن إنجاز عمليات التدقيق بنسبة 25% من خلال أتمتة النماذج المالية.</w:t>
      </w:r>
    </w:p>
    <w:p>
      <w:pPr>
        <w:spacing w:before="80" w:after="20"/>
      </w:pPr>
      <w:r>
        <w:rPr>
          <w:rFonts w:ascii="Arial" w:hAnsi="Arial"/>
          <w:b/>
          <w:color w:val="0F172A"/>
          <w:sz w:val="19"/>
        </w:rPr>
        <w:t>أخصائي إدخال ومراجعة بيانات مالية</w:t>
      </w:r>
      <w:r>
        <w:rPr>
          <w:rFonts w:ascii="Arial" w:hAnsi="Arial"/>
          <w:b/>
          <w:color w:val="2563EB"/>
          <w:sz w:val="19"/>
        </w:rPr>
        <w:t xml:space="preserve">  •  عمل عن بعد (Online)</w:t>
      </w:r>
      <w:r>
        <w:rPr>
          <w:rFonts w:ascii="Arial" w:hAnsi="Arial"/>
          <w:b w:val="0"/>
          <w:color w:val="64748B"/>
          <w:sz w:val="17"/>
        </w:rPr>
        <w:t xml:space="preserve">   [2020 - 2021]</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إدخال بيانات العملاء والحسابات بدقة متناهية وضمن أطر زمنية ضيقة مع الالتزام بأعلى معايير الجودة.</w:t>
      </w:r>
    </w:p>
    <w:p>
      <w:pPr>
        <w:pStyle w:val="ListBullet"/>
        <w:spacing w:before="0" w:after="40"/>
      </w:pPr>
      <w:r>
        <w:rPr>
          <w:rFonts w:ascii="Arial" w:hAnsi="Arial"/>
          <w:b w:val="0"/>
          <w:color w:val="334155"/>
          <w:sz w:val="18"/>
        </w:rPr>
        <w:t>توليد تقارير دورية دقيقة، وأرشفة الأعمال المكتملة بأمان، وإدارة النسخ الاحتياطية للبيانات بانتظام.</w:t>
      </w:r>
    </w:p>
    <w:p>
      <w:pPr>
        <w:pStyle w:val="ListBullet"/>
        <w:spacing w:before="0" w:after="40"/>
      </w:pPr>
      <w:r>
        <w:rPr>
          <w:rFonts w:ascii="Arial" w:hAnsi="Arial"/>
          <w:b w:val="0"/>
          <w:color w:val="334155"/>
          <w:sz w:val="18"/>
        </w:rPr>
        <w:t>التحقق المستمر من دقة البيانات وتحديد أولويات الإدخال لضمان انسيابية العمل وكفاءته.</w:t>
      </w:r>
    </w:p>
    <w:p>
      <w:pPr>
        <w:pStyle w:val="ListBullet"/>
        <w:spacing w:before="0" w:after="40"/>
      </w:pPr>
      <w:r>
        <w:rPr>
          <w:rFonts w:ascii="Arial" w:hAnsi="Arial"/>
          <w:b w:val="0"/>
          <w:color w:val="334155"/>
          <w:sz w:val="18"/>
        </w:rPr>
        <w:t>الحفاظ على السرية التامة والخصوصية المطلقة عند إدارة وتداول المعلومات المالية والحساسية.</w:t>
      </w:r>
    </w:p>
    <w:p>
      <w:pPr>
        <w:spacing w:before="20" w:after="40"/>
        <w:ind w:left="288"/>
      </w:pPr>
      <w:r>
        <w:rPr>
          <w:rFonts w:ascii="Arial" w:hAnsi="Arial"/>
          <w:b/>
          <w:color w:val="2563EB"/>
          <w:sz w:val="17"/>
        </w:rPr>
        <w:t xml:space="preserve">⚡ Key Impact: </w:t>
      </w:r>
      <w:r>
        <w:rPr>
          <w:rFonts w:ascii="Arial" w:hAnsi="Arial"/>
          <w:b w:val="0"/>
          <w:color w:val="0F172A"/>
          <w:sz w:val="17"/>
        </w:rPr>
        <w:t>حقق نسبة دقة بلغت 99.8% في إدخال ومعالجة آلاف السجلات المالية وحسابات العملاء.</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المهارات التقنية الأساسية: </w:t>
      </w:r>
      <w:r>
        <w:rPr>
          <w:rFonts w:ascii="Arial" w:hAnsi="Arial"/>
          <w:b w:val="0"/>
          <w:color w:val="334155"/>
          <w:sz w:val="18"/>
        </w:rPr>
        <w:t>إعداد وتحليل القوائم المالية  •  التدقيق المالي والضريبي  •  الرقابة المؤسسية  •  النمذجة المالية  •  التحليل المالي المتقدم</w:t>
      </w:r>
    </w:p>
    <w:p>
      <w:pPr>
        <w:spacing w:after="40"/>
      </w:pPr>
      <w:r>
        <w:rPr>
          <w:rFonts w:ascii="Arial" w:hAnsi="Arial"/>
          <w:b/>
          <w:color w:val="0F172A"/>
          <w:sz w:val="18"/>
        </w:rPr>
        <w:t xml:space="preserve">الأدوات والأنظمة وبرمجيات العمل: </w:t>
      </w:r>
      <w:r>
        <w:rPr>
          <w:rFonts w:ascii="Arial" w:hAnsi="Arial"/>
          <w:b w:val="0"/>
          <w:color w:val="334155"/>
          <w:sz w:val="18"/>
        </w:rPr>
        <w:t>مايكروسوفت إكسل المتقدم (Pivot Tables, XLOOKUP, Data Analysis)  •  البوابات الضريبية والحكومية الإلكترونية  •  برمجيات إدخال وإدارة البيانات  •  أنظمة تخطيط موارد المؤسسات ERP</w:t>
      </w:r>
    </w:p>
    <w:p>
      <w:pPr>
        <w:spacing w:after="40"/>
      </w:pPr>
      <w:r>
        <w:rPr>
          <w:rFonts w:ascii="Arial" w:hAnsi="Arial"/>
          <w:b/>
          <w:color w:val="0F172A"/>
          <w:sz w:val="18"/>
        </w:rPr>
        <w:t xml:space="preserve">المعايير والمنهجيات المهنية: </w:t>
      </w:r>
      <w:r>
        <w:rPr>
          <w:rFonts w:ascii="Arial" w:hAnsi="Arial"/>
          <w:b w:val="0"/>
          <w:color w:val="334155"/>
          <w:sz w:val="18"/>
        </w:rPr>
        <w:t>المعايير الدولية لإعداد التقارير المالية (IFRS)  •  القوانين واللوائح الضريبية المحلية  •  إدارة المخاطر والامتثال  •  حوكمة الشركات</w:t>
      </w:r>
    </w:p>
    <w:p>
      <w:pPr>
        <w:spacing w:after="40"/>
      </w:pPr>
      <w:r>
        <w:rPr>
          <w:rFonts w:ascii="Arial" w:hAnsi="Arial"/>
          <w:b/>
          <w:color w:val="0F172A"/>
          <w:sz w:val="18"/>
        </w:rPr>
        <w:t xml:space="preserve">المهارات القيادية والشخصية: </w:t>
      </w:r>
      <w:r>
        <w:rPr>
          <w:rFonts w:ascii="Arial" w:hAnsi="Arial"/>
          <w:b w:val="0"/>
          <w:color w:val="334155"/>
          <w:sz w:val="18"/>
        </w:rPr>
        <w:t>التفكير التحليلي وحل المشكلات  •  إدارة الوقت وتنظيم المهام  •  التواصل الفعال والعمل الجماعي  •  المرونة والتكيف مع بيئات العمل الديناميكية</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محاسب قانوني معتمد (CPA - مرشح أو قيد الإعداد)</w:t>
      </w:r>
      <w:r>
        <w:rPr>
          <w:rFonts w:ascii="Arial" w:hAnsi="Arial"/>
          <w:b w:val="0"/>
          <w:color w:val="475569"/>
          <w:sz w:val="18"/>
        </w:rPr>
        <w:t xml:space="preserve"> - المعهد الأمريكي للمحاسبين القانونيين (AICPA)</w:t>
      </w:r>
      <w:r>
        <w:rPr>
          <w:rFonts w:ascii="Arial" w:hAnsi="Arial"/>
          <w:b w:val="0"/>
          <w:color w:val="64748B"/>
          <w:sz w:val="17"/>
        </w:rPr>
        <w:t xml:space="preserve"> (2024)</w:t>
      </w:r>
    </w:p>
    <w:p>
      <w:pPr>
        <w:pStyle w:val="ListBullet"/>
        <w:spacing w:after="30"/>
      </w:pPr>
      <w:r>
        <w:rPr>
          <w:rFonts w:ascii="Arial" w:hAnsi="Arial"/>
          <w:b/>
          <w:color w:val="0F172A"/>
          <w:sz w:val="18"/>
        </w:rPr>
        <w:t>شهادة محلل مالى معتمد (FMVA)</w:t>
      </w:r>
      <w:r>
        <w:rPr>
          <w:rFonts w:ascii="Arial" w:hAnsi="Arial"/>
          <w:b w:val="0"/>
          <w:color w:val="475569"/>
          <w:sz w:val="18"/>
        </w:rPr>
        <w:t xml:space="preserve"> - معهد التمويل المؤسسي (CFI)</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بكالوريوس في المحاسبة</w:t>
      </w:r>
      <w:r>
        <w:rPr>
          <w:rFonts w:ascii="Arial" w:hAnsi="Arial"/>
          <w:b w:val="0"/>
          <w:color w:val="2563EB"/>
          <w:sz w:val="19"/>
        </w:rPr>
        <w:t xml:space="preserve">  •  جامعة العلوم الإسلامية العالمية</w:t>
      </w:r>
      <w:r>
        <w:rPr>
          <w:rFonts w:ascii="Arial" w:hAnsi="Arial"/>
          <w:b w:val="0"/>
          <w:color w:val="64748B"/>
          <w:sz w:val="17"/>
        </w:rPr>
        <w:t xml:space="preserve">   [2022]</w:t>
      </w:r>
    </w:p>
    <w:p>
      <w:pPr>
        <w:spacing w:before="0" w:after="40"/>
      </w:pPr>
      <w:r>
        <w:rPr>
          <w:rFonts w:ascii="Arial" w:hAnsi="Arial"/>
          <w:b w:val="0"/>
          <w:color w:val="64748B"/>
          <w:sz w:val="17"/>
        </w:rPr>
        <w:t>تركيز أكاديمي قوي على المحاسبة المالية، التدقيق، والنظم الضريبية</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العربية (اللغة الأم)   •   الإنجليزية (مستوى مهني متقدم (قراءة وكتابة ومحادثة))</w:t>
      </w:r>
    </w:p>
    <w:p>
      <w:pPr>
        <w:spacing w:before="160" w:after="60"/>
        <w:pBdr>
          <w:bottom w:val="single" w:sz="14" w:space="2" w:color="2563EB"/>
        </w:pBdr>
      </w:pPr>
      <w:r>
        <w:rPr>
          <w:rFonts w:ascii="Arial" w:hAnsi="Arial"/>
          <w:b/>
          <w:color w:val="0F172A"/>
          <w:sz w:val="21"/>
        </w:rPr>
        <w:t>الخبرات التقنية الإضافية</w:t>
      </w:r>
    </w:p>
    <w:p>
      <w:pPr>
        <w:spacing w:before="20" w:after="40"/>
      </w:pPr>
      <w:r>
        <w:rPr>
          <w:rFonts w:ascii="Arial" w:hAnsi="Arial"/>
          <w:b w:val="0"/>
          <w:color w:val="334155"/>
          <w:sz w:val="17"/>
        </w:rPr>
        <w:t>إجادة تامة للتعامل مع الأنظمة الرقمية الحكومية والبوابات الإلكترونية الخاصة بالضرائب والشركات.</w:t>
      </w:r>
    </w:p>
    <w:p>
      <w:pPr>
        <w:pStyle w:val="ListBullet"/>
        <w:spacing w:before="0" w:after="30" w:line="276" w:lineRule="auto"/>
      </w:pPr>
      <w:r>
        <w:rPr>
          <w:rFonts w:ascii="Arial" w:hAnsi="Arial"/>
          <w:b w:val="0"/>
          <w:color w:val="1E293B"/>
          <w:sz w:val="18"/>
        </w:rPr>
        <w:t>إدارة وتحديث البوابات الضريبية الإلكترونية بكفاءة عالية.</w:t>
      </w:r>
    </w:p>
    <w:p>
      <w:pPr>
        <w:pStyle w:val="ListBullet"/>
        <w:spacing w:before="0" w:after="30" w:line="276" w:lineRule="auto"/>
      </w:pPr>
      <w:r>
        <w:rPr>
          <w:rFonts w:ascii="Arial" w:hAnsi="Arial"/>
          <w:b w:val="0"/>
          <w:color w:val="1E293B"/>
          <w:sz w:val="18"/>
        </w:rPr>
        <w:t>القدرة الفائقة على التعامل مع الأرقام الكبيرة ومعالجة قواعد البيانات المعقدة.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