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BASEL FAOURI</w:t>
      </w:r>
    </w:p>
    <w:p>
      <w:pPr>
        <w:spacing w:after="80"/>
      </w:pPr>
      <w:r>
        <w:rPr>
          <w:rFonts w:ascii="Arial" w:hAnsi="Arial"/>
          <w:b/>
          <w:color w:val="2563EB"/>
          <w:sz w:val="22"/>
        </w:rPr>
        <w:t>محاسب مالي</w:t>
      </w:r>
    </w:p>
    <w:p>
      <w:pPr>
        <w:spacing w:after="200"/>
      </w:pPr>
      <w:r>
        <w:rPr>
          <w:rFonts w:ascii="Arial" w:hAnsi="Arial"/>
          <w:b w:val="0"/>
          <w:color w:val="475569"/>
          <w:sz w:val="17"/>
        </w:rPr>
        <w:t>عمان، الأردن   |   baselfaouri7@gmail.com   |   +962798402976</w:t>
      </w:r>
    </w:p>
    <w:p>
      <w:pPr>
        <w:spacing w:before="160" w:after="60"/>
        <w:pBdr>
          <w:bottom w:val="single" w:sz="14" w:space="2" w:color="2563EB"/>
        </w:pBdr>
      </w:pPr>
      <w:r>
        <w:rPr>
          <w:rFonts w:ascii="Arial" w:hAnsi="Arial"/>
          <w:b/>
          <w:color w:val="0F172A"/>
          <w:sz w:val="21"/>
        </w:rPr>
        <w:t>النبذة المهنية التنفيذية</w:t>
      </w:r>
    </w:p>
    <w:p>
      <w:pPr>
        <w:spacing w:after="120"/>
      </w:pPr>
      <w:r>
        <w:rPr>
          <w:rFonts w:ascii="Arial" w:hAnsi="Arial"/>
          <w:b w:val="0"/>
          <w:color w:val="334155"/>
          <w:sz w:val="18"/>
        </w:rPr>
        <w:t>محاسب مالي متخصص يمتلك كفاءة عالية في إدارة العمليات المحاسبية اليومية، إعداد القوائم المالية، وإجراء التسويات البنكية وفق معايير التقرير المالي الدولية (IFRS). يتميز بمهارات متقدمة في المحاسبة الضريبية، إدارة الذمم المدينة والدائنة، واستخدام البرامج المحاسبية وأنظمة ERP المتطورة. يسعى لتسخير خبراته التحليلية والتنظيمية لتحسين التدفقات النقدية وضمان دقة التقارير المالية للمؤسسة.</w:t>
      </w:r>
    </w:p>
    <w:p>
      <w:pPr>
        <w:spacing w:before="160" w:after="60"/>
        <w:pBdr>
          <w:bottom w:val="single" w:sz="14" w:space="2" w:color="2563EB"/>
        </w:pBdr>
      </w:pPr>
      <w:r>
        <w:rPr>
          <w:rFonts w:ascii="Arial" w:hAnsi="Arial"/>
          <w:b/>
          <w:color w:val="0F172A"/>
          <w:sz w:val="21"/>
        </w:rPr>
        <w:t>أبرز الإنجازات المهنية</w:t>
      </w:r>
    </w:p>
    <w:p>
      <w:pPr>
        <w:pStyle w:val="ListBullet"/>
        <w:spacing w:before="0" w:after="40"/>
      </w:pPr>
      <w:r>
        <w:rPr>
          <w:rFonts w:ascii="Arial" w:hAnsi="Arial"/>
          <w:b w:val="0"/>
          <w:color w:val="334155"/>
          <w:sz w:val="18"/>
        </w:rPr>
        <w:t>تطوير إجراءات التسوية المالية والمطابقات البنكية مما ساهم في تقليل الأخطاء المحاسبية بنسبة 25%.</w:t>
      </w:r>
    </w:p>
    <w:p>
      <w:pPr>
        <w:pStyle w:val="ListBullet"/>
        <w:spacing w:before="0" w:after="40"/>
      </w:pPr>
      <w:r>
        <w:rPr>
          <w:rFonts w:ascii="Arial" w:hAnsi="Arial"/>
          <w:b w:val="0"/>
          <w:color w:val="334155"/>
          <w:sz w:val="18"/>
        </w:rPr>
        <w:t>تحسين قيود الذمم المدينة والمتابعة الدورية للتحصيل مما أدى إلى خفض فترة دوران الحسابات المدينة بنسبة 18%.</w:t>
      </w:r>
    </w:p>
    <w:p>
      <w:pPr>
        <w:spacing w:before="160" w:after="60"/>
        <w:pBdr>
          <w:bottom w:val="single" w:sz="14" w:space="2" w:color="2563EB"/>
        </w:pBdr>
      </w:pPr>
      <w:r>
        <w:rPr>
          <w:rFonts w:ascii="Arial" w:hAnsi="Arial"/>
          <w:b/>
          <w:color w:val="0F172A"/>
          <w:sz w:val="21"/>
        </w:rPr>
        <w:t>الخبرات المهنية والعملية</w:t>
      </w:r>
    </w:p>
    <w:p>
      <w:pPr>
        <w:spacing w:before="80" w:after="20"/>
      </w:pPr>
      <w:r>
        <w:rPr>
          <w:rFonts w:ascii="Arial" w:hAnsi="Arial"/>
          <w:b/>
          <w:color w:val="0F172A"/>
          <w:sz w:val="19"/>
        </w:rPr>
        <w:t>محاسب مالي</w:t>
      </w:r>
      <w:r>
        <w:rPr>
          <w:rFonts w:ascii="Arial" w:hAnsi="Arial"/>
          <w:b/>
          <w:color w:val="2563EB"/>
          <w:sz w:val="19"/>
        </w:rPr>
        <w:t xml:space="preserve">  •  شركة الحلول التجارية والمالية</w:t>
      </w:r>
      <w:r>
        <w:rPr>
          <w:rFonts w:ascii="Arial" w:hAnsi="Arial"/>
          <w:b w:val="0"/>
          <w:color w:val="64748B"/>
          <w:sz w:val="17"/>
        </w:rPr>
        <w:t xml:space="preserve">   [يناير 2021 - الحاضر]</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وتسجيل القيود المحاسبية اليومية ومراجعة الفواتير والمستندات المالية لضمان الالتزام بالمعايير المعتمدة.</w:t>
      </w:r>
    </w:p>
    <w:p>
      <w:pPr>
        <w:pStyle w:val="ListBullet"/>
        <w:spacing w:before="0" w:after="40"/>
      </w:pPr>
      <w:r>
        <w:rPr>
          <w:rFonts w:ascii="Arial" w:hAnsi="Arial"/>
          <w:b w:val="0"/>
          <w:color w:val="334155"/>
          <w:sz w:val="18"/>
        </w:rPr>
        <w:t>إعداد التسويات البنكية ومطابقة حسابات الموردين والعملاء شهرياً لضمان سلامة الدفاتر المالية بنسبة 100%.</w:t>
      </w:r>
    </w:p>
    <w:p>
      <w:pPr>
        <w:pStyle w:val="ListBullet"/>
        <w:spacing w:before="0" w:after="40"/>
      </w:pPr>
      <w:r>
        <w:rPr>
          <w:rFonts w:ascii="Arial" w:hAnsi="Arial"/>
          <w:b w:val="0"/>
          <w:color w:val="334155"/>
          <w:sz w:val="18"/>
        </w:rPr>
        <w:t>المشاركة في إعداد القوائم المالية الدورية بما في ذلك قائمة الدخل، الميزانية العمومية، وقائمة التدفقات النقدية.</w:t>
      </w:r>
    </w:p>
    <w:p>
      <w:pPr>
        <w:pStyle w:val="ListBullet"/>
        <w:spacing w:before="0" w:after="40"/>
      </w:pPr>
      <w:r>
        <w:rPr>
          <w:rFonts w:ascii="Arial" w:hAnsi="Arial"/>
          <w:b w:val="0"/>
          <w:color w:val="334155"/>
          <w:sz w:val="18"/>
        </w:rPr>
        <w:t>متابعة تحصيل المستحقات والذمم المالية مع العملاء مما ساهم في تعزيز السيولة النقدية بنسبة 15%.</w:t>
      </w:r>
    </w:p>
    <w:p>
      <w:pPr>
        <w:pStyle w:val="ListBullet"/>
        <w:spacing w:before="0" w:after="40"/>
      </w:pPr>
      <w:r>
        <w:rPr>
          <w:rFonts w:ascii="Arial" w:hAnsi="Arial"/>
          <w:b w:val="0"/>
          <w:color w:val="334155"/>
          <w:sz w:val="18"/>
        </w:rPr>
        <w:t>إعداد وحساب ضريبة المبيعات والدخل بالتوافق مع التشريعات الضريبية المعمول بها في الأردن.</w:t>
      </w:r>
    </w:p>
    <w:p>
      <w:pPr>
        <w:spacing w:before="160" w:after="60"/>
        <w:pBdr>
          <w:bottom w:val="single" w:sz="14" w:space="2" w:color="2563EB"/>
        </w:pBdr>
      </w:pPr>
      <w:r>
        <w:rPr>
          <w:rFonts w:ascii="Arial" w:hAnsi="Arial"/>
          <w:b/>
          <w:color w:val="0F172A"/>
          <w:sz w:val="21"/>
        </w:rPr>
        <w:t>المهارات والكفاءات الجوهرية</w:t>
      </w:r>
    </w:p>
    <w:p>
      <w:pPr>
        <w:spacing w:after="40"/>
      </w:pPr>
      <w:r>
        <w:rPr>
          <w:rFonts w:ascii="Arial" w:hAnsi="Arial"/>
          <w:b/>
          <w:color w:val="0F172A"/>
          <w:sz w:val="18"/>
        </w:rPr>
        <w:t xml:space="preserve">المهارات المحاسبية والمالية الجوهرية: </w:t>
      </w:r>
      <w:r>
        <w:rPr>
          <w:rFonts w:ascii="Arial" w:hAnsi="Arial"/>
          <w:b w:val="0"/>
          <w:color w:val="334155"/>
          <w:sz w:val="18"/>
        </w:rPr>
        <w:t>المحاسبة المالية (Financial Accounting)  •  إعداد القوائم المالية (Financial Statements)  •  التسويات البنكية والمطابقات  •  إدارة حسابات الذمم والعملاء  •  المحاسبة الضريبية وإقرارات الضريبة  •  معايير التقرير المالي الدولية (IFRS)</w:t>
      </w:r>
    </w:p>
    <w:p>
      <w:pPr>
        <w:spacing w:after="40"/>
      </w:pPr>
      <w:r>
        <w:rPr>
          <w:rFonts w:ascii="Arial" w:hAnsi="Arial"/>
          <w:b/>
          <w:color w:val="0F172A"/>
          <w:sz w:val="18"/>
        </w:rPr>
        <w:t xml:space="preserve">الأدوات والأنظمة المحاسبية: </w:t>
      </w:r>
      <w:r>
        <w:rPr>
          <w:rFonts w:ascii="Arial" w:hAnsi="Arial"/>
          <w:b w:val="0"/>
          <w:color w:val="334155"/>
          <w:sz w:val="18"/>
        </w:rPr>
        <w:t>مايكروسوفت إكسل المتقدم (Advanced Excel)  •  نظام كويك بوكس (QuickBooks)  •  نظام الساب (SAP ERP)  •  برنامج الأصيل المحاسبي  •  أنظمة نقاط البيع (POS)  •  مايكروسوفت أوفيس (Microsoft Office Suite)</w:t>
      </w:r>
    </w:p>
    <w:p>
      <w:pPr>
        <w:spacing w:after="40"/>
      </w:pPr>
      <w:r>
        <w:rPr>
          <w:rFonts w:ascii="Arial" w:hAnsi="Arial"/>
          <w:b/>
          <w:color w:val="0F172A"/>
          <w:sz w:val="18"/>
        </w:rPr>
        <w:t xml:space="preserve">المعايير والمنهجيات المالية: </w:t>
      </w:r>
      <w:r>
        <w:rPr>
          <w:rFonts w:ascii="Arial" w:hAnsi="Arial"/>
          <w:b w:val="0"/>
          <w:color w:val="334155"/>
          <w:sz w:val="18"/>
        </w:rPr>
        <w:t>معايير المحاسبة الدولية (IAS)  •  إدارة التدفقات النقدية (Cash Flow)  •  الرقابة المالية والتدقيق الداخلي  •  إعداد الموازنات التقديرية</w:t>
      </w:r>
    </w:p>
    <w:p>
      <w:pPr>
        <w:spacing w:after="40"/>
      </w:pPr>
      <w:r>
        <w:rPr>
          <w:rFonts w:ascii="Arial" w:hAnsi="Arial"/>
          <w:b/>
          <w:color w:val="0F172A"/>
          <w:sz w:val="18"/>
        </w:rPr>
        <w:t xml:space="preserve">المهارات القيادية والشخصية: </w:t>
      </w:r>
      <w:r>
        <w:rPr>
          <w:rFonts w:ascii="Arial" w:hAnsi="Arial"/>
          <w:b w:val="0"/>
          <w:color w:val="334155"/>
          <w:sz w:val="18"/>
        </w:rPr>
        <w:t>الدقة العالية والاهتمام بالتفاصيل  •  التحليل المالي وحل المشكلات  •  إدارة الوقت والالتزام بالمواعيد  •  التواصل المهني والعمل الجماعي  •  التفكير النظري والتنظيمي</w:t>
      </w:r>
    </w:p>
    <w:p>
      <w:pPr>
        <w:spacing w:before="160" w:after="60"/>
        <w:pBdr>
          <w:bottom w:val="single" w:sz="14" w:space="2" w:color="2563EB"/>
        </w:pBdr>
      </w:pPr>
      <w:r>
        <w:rPr>
          <w:rFonts w:ascii="Arial" w:hAnsi="Arial"/>
          <w:b/>
          <w:color w:val="0F172A"/>
          <w:sz w:val="21"/>
        </w:rPr>
        <w:t>التعليم والمؤهلات الأكاديمية</w:t>
      </w:r>
    </w:p>
    <w:p>
      <w:pPr>
        <w:spacing w:before="60" w:after="20"/>
      </w:pPr>
      <w:r>
        <w:rPr>
          <w:rFonts w:ascii="Arial" w:hAnsi="Arial"/>
          <w:b/>
          <w:color w:val="0F172A"/>
          <w:sz w:val="19"/>
        </w:rPr>
        <w:t>بكالوريوس في المحاسبة</w:t>
      </w:r>
      <w:r>
        <w:rPr>
          <w:rFonts w:ascii="Arial" w:hAnsi="Arial"/>
          <w:b w:val="0"/>
          <w:color w:val="2563EB"/>
          <w:sz w:val="19"/>
        </w:rPr>
        <w:t xml:space="preserve">  •  الجامعة الأردنية</w:t>
      </w:r>
      <w:r>
        <w:rPr>
          <w:rFonts w:ascii="Arial" w:hAnsi="Arial"/>
          <w:b w:val="0"/>
          <w:color w:val="64748B"/>
          <w:sz w:val="17"/>
        </w:rPr>
        <w:t xml:space="preserve">   [2020]</w:t>
      </w:r>
    </w:p>
    <w:p>
      <w:pPr>
        <w:spacing w:before="0" w:after="40"/>
      </w:pPr>
      <w:r>
        <w:rPr>
          <w:rFonts w:ascii="Arial" w:hAnsi="Arial"/>
          <w:b w:val="0"/>
          <w:color w:val="64748B"/>
          <w:sz w:val="17"/>
        </w:rPr>
        <w:t>تقدير جيد جداً</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(Native))   •   الإنجليزية (مستوى مهني متقدم (Professional Working Proficiency))</w:t>
      </w:r>
    </w:p>
    <w:p>
      <w:pPr>
        <w:spacing w:before="160" w:after="60"/>
        <w:pBdr>
          <w:bottom w:val="single" w:sz="14" w:space="2" w:color="2563EB"/>
        </w:pBdr>
      </w:pPr>
      <w:r>
        <w:rPr>
          <w:rFonts w:ascii="Arial" w:hAnsi="Arial"/>
          <w:b/>
          <w:color w:val="0F172A"/>
          <w:sz w:val="21"/>
        </w:rPr>
        <w:t>المهارات الحاسوبية والتقنية</w:t>
      </w:r>
    </w:p>
    <w:p>
      <w:pPr>
        <w:spacing w:before="20" w:after="40"/>
      </w:pPr>
      <w:r>
        <w:rPr>
          <w:rFonts w:ascii="Arial" w:hAnsi="Arial"/>
          <w:b w:val="0"/>
          <w:color w:val="334155"/>
          <w:sz w:val="17"/>
        </w:rPr>
        <w:t>كفاءة عالية في التعامل مع البرامج المالية والأنظمة الحاسوبية المتقدمة.</w:t>
      </w:r>
    </w:p>
    <w:p>
      <w:pPr>
        <w:pStyle w:val="ListBullet"/>
        <w:spacing w:before="0" w:after="30" w:line="276" w:lineRule="auto"/>
      </w:pPr>
      <w:r>
        <w:rPr>
          <w:rFonts w:ascii="Arial" w:hAnsi="Arial"/>
          <w:b w:val="0"/>
          <w:color w:val="1E293B"/>
          <w:sz w:val="18"/>
        </w:rPr>
        <w:t>استخدام المعادلات المتقدمة والجداول المحورية في Excel (Pivot Tables, VLOOKUP)</w:t>
      </w:r>
    </w:p>
    <w:p>
      <w:pPr>
        <w:pStyle w:val="ListBullet"/>
        <w:spacing w:before="0" w:after="30" w:line="276" w:lineRule="auto"/>
      </w:pPr>
      <w:r>
        <w:rPr>
          <w:rFonts w:ascii="Arial" w:hAnsi="Arial"/>
          <w:b w:val="0"/>
          <w:color w:val="1E293B"/>
          <w:sz w:val="18"/>
        </w:rPr>
        <w:t>إدارة أرشفة المستندات المالية إلكترونياً وتأمين البيانات المحاسبية</w:t>
      </w:r>
    </w:p>
    <w:p>
      <w:pPr>
        <w:pStyle w:val="ListBullet"/>
        <w:spacing w:before="0" w:after="30" w:line="276" w:lineRule="auto"/>
      </w:pPr>
      <w:r>
        <w:rPr>
          <w:rFonts w:ascii="Arial" w:hAnsi="Arial"/>
          <w:b w:val="0"/>
          <w:color w:val="1E293B"/>
          <w:sz w:val="18"/>
        </w:rPr>
        <w:t>إعداد التقارير المالية الآلية والرسوم البيانية التحليلية</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