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خالد عبد الرحيم</w:t>
      </w:r>
    </w:p>
    <w:p>
      <w:pPr>
        <w:spacing w:after="80"/>
      </w:pPr>
      <w:r>
        <w:rPr>
          <w:rFonts w:ascii="Arial" w:hAnsi="Arial"/>
          <w:b/>
          <w:color w:val="2563EB"/>
          <w:sz w:val="22"/>
        </w:rPr>
        <w:t>كاشير وممثل مبيعات</w:t>
      </w:r>
    </w:p>
    <w:p>
      <w:pPr>
        <w:spacing w:after="200"/>
      </w:pPr>
      <w:r>
        <w:rPr>
          <w:rFonts w:ascii="Arial" w:hAnsi="Arial"/>
          <w:b w:val="0"/>
          <w:color w:val="475569"/>
          <w:sz w:val="17"/>
        </w:rPr>
        <w:t>عمان، الأردن   |   khaled.abdelrahim.cv@gmail.com   |   +962 7 9123 4567   |   https://linkedin.com/in/khaled-abdelrahim</w:t>
      </w:r>
    </w:p>
    <w:p>
      <w:pPr>
        <w:spacing w:before="160" w:after="60"/>
        <w:pBdr>
          <w:bottom w:val="single" w:sz="14" w:space="2" w:color="2563EB"/>
        </w:pBdr>
      </w:pPr>
      <w:r>
        <w:rPr>
          <w:rFonts w:ascii="Arial" w:hAnsi="Arial"/>
          <w:b/>
          <w:color w:val="0F172A"/>
          <w:sz w:val="21"/>
        </w:rPr>
        <w:t>النبذة المهنية التنفيذية</w:t>
      </w:r>
    </w:p>
    <w:p>
      <w:pPr>
        <w:spacing w:after="120"/>
      </w:pPr>
      <w:r>
        <w:rPr>
          <w:rFonts w:ascii="Arial" w:hAnsi="Arial"/>
          <w:b w:val="0"/>
          <w:color w:val="334155"/>
          <w:sz w:val="18"/>
        </w:rPr>
        <w:t>خريج طموح يحمل دبلوم إدارة الأعمال من كلية عمان الجامعية، مجهز بخبرة عملية تزيد عن عام في مجالات الكاشير، إدارة الصندوق، وخدمة العملاء. أمتلك مهارات قوية في التعامل المالي الدقيق، تشغيل أنظمة نقاط البيع (POS)، وإدارة عمليات الجرد اليومي بكفاءة عالية. أسعى لتوظيف خلفيتي الأكاديمية والتزامي بالدقة والإنتاجية لتقديم تجربة تسوق متميزة ودعم العمليات التشغيلية والبيعية بكفاءة.</w:t>
      </w:r>
    </w:p>
    <w:p>
      <w:pPr>
        <w:spacing w:before="160" w:after="60"/>
        <w:pBdr>
          <w:bottom w:val="single" w:sz="14" w:space="2" w:color="2563EB"/>
        </w:pBdr>
      </w:pPr>
      <w:r>
        <w:rPr>
          <w:rFonts w:ascii="Arial" w:hAnsi="Arial"/>
          <w:b/>
          <w:color w:val="0F172A"/>
          <w:sz w:val="21"/>
        </w:rPr>
        <w:t>أبرز الإنجازات المهنية</w:t>
      </w:r>
    </w:p>
    <w:p>
      <w:pPr>
        <w:pStyle w:val="ListBullet"/>
        <w:spacing w:before="0" w:after="40"/>
      </w:pPr>
      <w:r>
        <w:rPr>
          <w:rFonts w:ascii="Arial" w:hAnsi="Arial"/>
          <w:b w:val="0"/>
          <w:color w:val="334155"/>
          <w:sz w:val="18"/>
        </w:rPr>
        <w:t>تحقيق دقة متناهية بنسبة 99.9% في مطابقة الحسابات النقدية اليومية وإغلاق الصندوق طوال فترة العمل.</w:t>
      </w:r>
    </w:p>
    <w:p>
      <w:pPr>
        <w:pStyle w:val="ListBullet"/>
        <w:spacing w:before="0" w:after="40"/>
      </w:pPr>
      <w:r>
        <w:rPr>
          <w:rFonts w:ascii="Arial" w:hAnsi="Arial"/>
          <w:b w:val="0"/>
          <w:color w:val="334155"/>
          <w:sz w:val="18"/>
        </w:rPr>
        <w:t>تقديم خدمة عملاء متميزة ساهمت في رفع مستوى رضا العملاء وتقليل وقت الانتظار عند نقاط الدفع بنسبة 15%.</w:t>
      </w:r>
    </w:p>
    <w:p>
      <w:pPr>
        <w:spacing w:before="160" w:after="60"/>
        <w:pBdr>
          <w:bottom w:val="single" w:sz="14" w:space="2" w:color="2563EB"/>
        </w:pBdr>
      </w:pPr>
      <w:r>
        <w:rPr>
          <w:rFonts w:ascii="Arial" w:hAnsi="Arial"/>
          <w:b/>
          <w:color w:val="0F172A"/>
          <w:sz w:val="21"/>
        </w:rPr>
        <w:t>الخبرات المهنية والعملية</w:t>
      </w:r>
    </w:p>
    <w:p>
      <w:pPr>
        <w:spacing w:before="80" w:after="20"/>
      </w:pPr>
      <w:r>
        <w:rPr>
          <w:rFonts w:ascii="Arial" w:hAnsi="Arial"/>
          <w:b/>
          <w:color w:val="0F172A"/>
          <w:sz w:val="19"/>
        </w:rPr>
        <w:t>كاشير ومسؤول صندوق</w:t>
      </w:r>
      <w:r>
        <w:rPr>
          <w:rFonts w:ascii="Arial" w:hAnsi="Arial"/>
          <w:b/>
          <w:color w:val="2563EB"/>
          <w:sz w:val="19"/>
        </w:rPr>
        <w:t xml:space="preserve">  •  سوبرماركت رائد</w:t>
      </w:r>
      <w:r>
        <w:rPr>
          <w:rFonts w:ascii="Arial" w:hAnsi="Arial"/>
          <w:b w:val="0"/>
          <w:color w:val="64748B"/>
          <w:sz w:val="17"/>
        </w:rPr>
        <w:t xml:space="preserve">   [2022 - 2023]</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إدارة عمليات الصندوق اليومية ومعالجة المعاملات النقدية والبطاقات الائتمانية لأكثر من 80 عميلاً يومياً بدقة وسرعة عالية.</w:t>
      </w:r>
    </w:p>
    <w:p>
      <w:pPr>
        <w:pStyle w:val="ListBullet"/>
        <w:spacing w:before="0" w:after="40"/>
      </w:pPr>
      <w:r>
        <w:rPr>
          <w:rFonts w:ascii="Arial" w:hAnsi="Arial"/>
          <w:b w:val="0"/>
          <w:color w:val="334155"/>
          <w:sz w:val="18"/>
        </w:rPr>
        <w:t>مطابقة الحسابات النقدية والتقارير المالية اليومية مع الحفاظ على نسبة خطأ صفرية في تسوية الصندوق.</w:t>
      </w:r>
    </w:p>
    <w:p>
      <w:pPr>
        <w:pStyle w:val="ListBullet"/>
        <w:spacing w:before="0" w:after="40"/>
      </w:pPr>
      <w:r>
        <w:rPr>
          <w:rFonts w:ascii="Arial" w:hAnsi="Arial"/>
          <w:b w:val="0"/>
          <w:color w:val="334155"/>
          <w:sz w:val="18"/>
        </w:rPr>
        <w:t>مساعدة العملاء والإجابة على استفساراتهم بأسلوب مهني، مما ساهم في تعزيز ولائهم وتكرار زياراتهم للمتجر.</w:t>
      </w:r>
    </w:p>
    <w:p>
      <w:pPr>
        <w:pStyle w:val="ListBullet"/>
        <w:spacing w:before="0" w:after="40"/>
      </w:pPr>
      <w:r>
        <w:rPr>
          <w:rFonts w:ascii="Arial" w:hAnsi="Arial"/>
          <w:b w:val="0"/>
          <w:color w:val="334155"/>
          <w:sz w:val="18"/>
        </w:rPr>
        <w:t>دعم فرق المبيعات في ترتيب وتنسيق المنتجات على الرفوف ومراقبة تواريخ الصلاحية لضمان جودة المعروضات.</w:t>
      </w:r>
    </w:p>
    <w:p>
      <w:pPr>
        <w:pStyle w:val="ListBullet"/>
        <w:spacing w:before="0" w:after="40"/>
      </w:pPr>
      <w:r>
        <w:rPr>
          <w:rFonts w:ascii="Arial" w:hAnsi="Arial"/>
          <w:b w:val="0"/>
          <w:color w:val="334155"/>
          <w:sz w:val="18"/>
        </w:rPr>
        <w:t>الالتزام التام بالسياسات والإجراءات الأمنية والمالية الخاصة بالمنشأة لضمان بيئة عمل آمنة ومنظمة.</w:t>
      </w:r>
    </w:p>
    <w:p>
      <w:pPr>
        <w:spacing w:before="160" w:after="60"/>
        <w:pBdr>
          <w:bottom w:val="single" w:sz="14" w:space="2" w:color="2563EB"/>
        </w:pBdr>
      </w:pPr>
      <w:r>
        <w:rPr>
          <w:rFonts w:ascii="Arial" w:hAnsi="Arial"/>
          <w:b/>
          <w:color w:val="0F172A"/>
          <w:sz w:val="21"/>
        </w:rPr>
        <w:t>المهارات والكفاءات الجوهرية</w:t>
      </w:r>
    </w:p>
    <w:p>
      <w:pPr>
        <w:spacing w:after="40"/>
      </w:pPr>
      <w:r>
        <w:rPr>
          <w:rFonts w:ascii="Arial" w:hAnsi="Arial"/>
          <w:b/>
          <w:color w:val="0F172A"/>
          <w:sz w:val="18"/>
        </w:rPr>
        <w:t xml:space="preserve">المهارات الفنية والوظيفية الأساسية: </w:t>
      </w:r>
      <w:r>
        <w:rPr>
          <w:rFonts w:ascii="Arial" w:hAnsi="Arial"/>
          <w:b w:val="0"/>
          <w:color w:val="334155"/>
          <w:sz w:val="18"/>
        </w:rPr>
        <w:t>إدارة الصندوق والعمليات المالية  •  خدمة العملاء والاتصال  •  جرد المخزون ومراقبة الصلاحية  •  ترويج المنتجات وتنشيط المبيعات  •  التسويات المالية اليومية  •  التعامل مع الشكاوى وحل المشكلات</w:t>
      </w:r>
    </w:p>
    <w:p>
      <w:pPr>
        <w:spacing w:after="40"/>
      </w:pPr>
      <w:r>
        <w:rPr>
          <w:rFonts w:ascii="Arial" w:hAnsi="Arial"/>
          <w:b/>
          <w:color w:val="0F172A"/>
          <w:sz w:val="18"/>
        </w:rPr>
        <w:t xml:space="preserve">الأدوات والبرمجيات والأنظمة الرقمية: </w:t>
      </w:r>
      <w:r>
        <w:rPr>
          <w:rFonts w:ascii="Arial" w:hAnsi="Arial"/>
          <w:b w:val="0"/>
          <w:color w:val="334155"/>
          <w:sz w:val="18"/>
        </w:rPr>
        <w:t>أنظمة نقاط البيع (POS Systems)  •  أجهزة الدفع الإلكتروني (Visa/Mastercard Terminals)  •  مايكروسوفت أوفيس (Microsoft Excel, Word)  •  أنظمة إدارة المخازن البسيطة  •  تطبيقات الدفع الرقمي والمحافظ الإلكترونية</w:t>
      </w:r>
    </w:p>
    <w:p>
      <w:pPr>
        <w:spacing w:after="40"/>
      </w:pPr>
      <w:r>
        <w:rPr>
          <w:rFonts w:ascii="Arial" w:hAnsi="Arial"/>
          <w:b/>
          <w:color w:val="0F172A"/>
          <w:sz w:val="18"/>
        </w:rPr>
        <w:t xml:space="preserve">المنهجيات ومعايير العمل: </w:t>
      </w:r>
      <w:r>
        <w:rPr>
          <w:rFonts w:ascii="Arial" w:hAnsi="Arial"/>
          <w:b w:val="0"/>
          <w:color w:val="334155"/>
          <w:sz w:val="18"/>
        </w:rPr>
        <w:t>معايير خدمة العملاء الممتازة  •  إجراءات السلامة والأمن المالي  •  مبادئ المحاسبة الأساسية  •  تنظيم وتنسيق المعروضات (Merchandising)</w:t>
      </w:r>
    </w:p>
    <w:p>
      <w:pPr>
        <w:spacing w:after="40"/>
      </w:pPr>
      <w:r>
        <w:rPr>
          <w:rFonts w:ascii="Arial" w:hAnsi="Arial"/>
          <w:b/>
          <w:color w:val="0F172A"/>
          <w:sz w:val="18"/>
        </w:rPr>
        <w:t xml:space="preserve">المهارات الشخصية والتفاعلية: </w:t>
      </w:r>
      <w:r>
        <w:rPr>
          <w:rFonts w:ascii="Arial" w:hAnsi="Arial"/>
          <w:b w:val="0"/>
          <w:color w:val="334155"/>
          <w:sz w:val="18"/>
        </w:rPr>
        <w:t>العمل الجماعي والتعاون  •  الدقة والاهتمام بالتفاصيل  •  إدارة الوقت والالتزام بالمواعيد  •  القدرة على العمل تحت الضغط  •  التعلم السريع والتكيف</w:t>
      </w:r>
    </w:p>
    <w:p>
      <w:pPr>
        <w:spacing w:before="160" w:after="60"/>
        <w:pBdr>
          <w:bottom w:val="single" w:sz="14" w:space="2" w:color="2563EB"/>
        </w:pBdr>
      </w:pPr>
      <w:r>
        <w:rPr>
          <w:rFonts w:ascii="Arial" w:hAnsi="Arial"/>
          <w:b/>
          <w:color w:val="0F172A"/>
          <w:sz w:val="21"/>
        </w:rPr>
        <w:t>التعليم والمؤهلات الأكاديمية</w:t>
      </w:r>
    </w:p>
    <w:p>
      <w:pPr>
        <w:spacing w:before="60" w:after="20"/>
      </w:pPr>
      <w:r>
        <w:rPr>
          <w:rFonts w:ascii="Arial" w:hAnsi="Arial"/>
          <w:b/>
          <w:color w:val="0F172A"/>
          <w:sz w:val="19"/>
        </w:rPr>
        <w:t>دبلوم إدارة أعمال</w:t>
      </w:r>
      <w:r>
        <w:rPr>
          <w:rFonts w:ascii="Arial" w:hAnsi="Arial"/>
          <w:b w:val="0"/>
          <w:color w:val="2563EB"/>
          <w:sz w:val="19"/>
        </w:rPr>
        <w:t xml:space="preserve">  •  كلية عمان الجامعية</w:t>
      </w:r>
      <w:r>
        <w:rPr>
          <w:rFonts w:ascii="Arial" w:hAnsi="Arial"/>
          <w:b w:val="0"/>
          <w:color w:val="64748B"/>
          <w:sz w:val="17"/>
        </w:rPr>
        <w:t xml:space="preserve">   [2022]</w:t>
      </w:r>
    </w:p>
    <w:p>
      <w:pPr>
        <w:spacing w:before="0" w:after="40"/>
      </w:pPr>
      <w:r>
        <w:rPr>
          <w:rFonts w:ascii="Arial" w:hAnsi="Arial"/>
          <w:b w:val="0"/>
          <w:color w:val="64748B"/>
          <w:sz w:val="17"/>
        </w:rPr>
        <w:t>تركيز على مبادئ المحاسبة، إدارة المبيعات، وخدمة العملاء</w:t>
      </w:r>
    </w:p>
    <w:p>
      <w:pPr>
        <w:spacing w:before="160" w:after="60"/>
        <w:pBdr>
          <w:bottom w:val="single" w:sz="14" w:space="2" w:color="2563EB"/>
        </w:pBdr>
      </w:pPr>
      <w:r>
        <w:rPr>
          <w:rFonts w:ascii="Arial" w:hAnsi="Arial"/>
          <w:b/>
          <w:color w:val="0F172A"/>
          <w:sz w:val="21"/>
        </w:rPr>
        <w:t>المشاريع البارزة</w:t>
      </w:r>
    </w:p>
    <w:p>
      <w:pPr>
        <w:spacing w:before="40" w:after="20"/>
      </w:pPr>
      <w:r>
        <w:rPr>
          <w:rFonts w:ascii="Arial" w:hAnsi="Arial"/>
          <w:b/>
          <w:color w:val="0F172A"/>
          <w:sz w:val="19"/>
        </w:rPr>
        <w:t>مشروع دراسة تحسين تجربة العملاء في قطاع التجزئة</w:t>
      </w:r>
      <w:r>
        <w:rPr>
          <w:rFonts w:ascii="Arial" w:hAnsi="Arial"/>
          <w:b w:val="0"/>
          <w:color w:val="64748B"/>
          <w:sz w:val="18"/>
        </w:rPr>
        <w:t xml:space="preserve"> (معد ومطور رئيسي)</w:t>
      </w:r>
    </w:p>
    <w:p>
      <w:pPr>
        <w:spacing w:before="0" w:after="40"/>
      </w:pPr>
      <w:r>
        <w:rPr>
          <w:rFonts w:ascii="Arial" w:hAnsi="Arial"/>
          <w:b w:val="0"/>
          <w:color w:val="334155"/>
          <w:sz w:val="17"/>
        </w:rPr>
        <w:t>دراسة تطبيقية كجزء من متطلبات الدبلوم لتحليل سلوك المستهلك وتطوير مقترحات لتقليل وقت الانتظار عند نقاط البيع وزيادة رضا العملاء.</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العربية (اللغة الأم)   •   الإنجليزية (مستوى متوسط / جيد جداً)</w:t>
      </w:r>
    </w:p>
    <w:p>
      <w:pPr>
        <w:spacing w:before="160" w:after="60"/>
        <w:pBdr>
          <w:bottom w:val="single" w:sz="14" w:space="2" w:color="2563EB"/>
        </w:pBdr>
      </w:pPr>
      <w:r>
        <w:rPr>
          <w:rFonts w:ascii="Arial" w:hAnsi="Arial"/>
          <w:b/>
          <w:color w:val="0F172A"/>
          <w:sz w:val="21"/>
        </w:rPr>
        <w:t>الأنشطة التطوعية والتدريب العملي</w:t>
      </w:r>
    </w:p>
    <w:p>
      <w:pPr>
        <w:spacing w:before="20" w:after="40"/>
      </w:pPr>
      <w:r>
        <w:rPr>
          <w:rFonts w:ascii="Arial" w:hAnsi="Arial"/>
          <w:b w:val="0"/>
          <w:color w:val="334155"/>
          <w:sz w:val="17"/>
        </w:rPr>
        <w:t>المشاركة الفعالة في الأنشطة الطلابية والمبادرات المجتمعية لتطوير المهارات القيادية والتواصل.</w:t>
      </w:r>
    </w:p>
    <w:p>
      <w:pPr>
        <w:pStyle w:val="ListBullet"/>
        <w:spacing w:before="0" w:after="30" w:line="276" w:lineRule="auto"/>
      </w:pPr>
      <w:r>
        <w:rPr>
          <w:rFonts w:ascii="Arial" w:hAnsi="Arial"/>
          <w:b w:val="0"/>
          <w:color w:val="1E293B"/>
          <w:sz w:val="18"/>
        </w:rPr>
        <w:t>المشاركة في تنظيم الفعاليات والأنشطة الأكاديمية داخل كلية عمان الجامعية.</w:t>
      </w:r>
    </w:p>
    <w:p>
      <w:pPr>
        <w:pStyle w:val="ListBullet"/>
        <w:spacing w:before="0" w:after="30" w:line="276" w:lineRule="auto"/>
      </w:pPr>
      <w:r>
        <w:rPr>
          <w:rFonts w:ascii="Arial" w:hAnsi="Arial"/>
          <w:b w:val="0"/>
          <w:color w:val="1E293B"/>
          <w:sz w:val="18"/>
        </w:rPr>
        <w:t>التطوع في مبادرات مجتمعية محلية لتوزيع الطرود والمساعدات خلال المواسم.</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