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E3A8A"/>
          <w:sz w:val="36"/>
        </w:rPr>
        <w:t>PROFESSIONAL CANDIDATE</w:t>
      </w:r>
    </w:p>
    <w:p>
      <w:pPr>
        <w:spacing w:after="80"/>
      </w:pPr>
      <w:r>
        <w:rPr>
          <w:rFonts w:ascii="Arial" w:hAnsi="Arial"/>
          <w:b/>
          <w:color w:val="B45309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0776099843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daily financial ledger balancing, account reconciliations, and audit compliance.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1E3A8A"/>
          <w:sz w:val="19"/>
        </w:rPr>
        <w:t>Financial Accountant</w:t>
      </w:r>
      <w:r>
        <w:rPr>
          <w:rFonts w:ascii="Arial" w:hAnsi="Arial"/>
          <w:b/>
          <w:color w:val="B45309"/>
          <w:sz w:val="19"/>
        </w:rPr>
        <w:t xml:space="preserve">  •  Financial &amp; Accounting Services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1E3A8A"/>
          <w:sz w:val="19"/>
        </w:rPr>
        <w:t>Financial Accountant</w:t>
      </w:r>
      <w:r>
        <w:rPr>
          <w:rFonts w:ascii="Arial" w:hAnsi="Arial"/>
          <w:b/>
          <w:color w:val="B45309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1E3A8A"/>
          <w:sz w:val="19"/>
        </w:rPr>
        <w:t>Operations Specialist</w:t>
      </w:r>
      <w:r>
        <w:rPr>
          <w:rFonts w:ascii="Arial" w:hAnsi="Arial"/>
          <w:b/>
          <w:color w:val="B45309"/>
          <w:sz w:val="19"/>
        </w:rPr>
        <w:t xml:space="preserve">  •  75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1E3A8A"/>
          <w:sz w:val="19"/>
        </w:rPr>
        <w:t>Associate University Diploma</w:t>
      </w:r>
      <w:r>
        <w:rPr>
          <w:rFonts w:ascii="Arial" w:hAnsi="Arial"/>
          <w:b w:val="0"/>
          <w:color w:val="B45309"/>
          <w:sz w:val="19"/>
        </w:rPr>
        <w:t xml:space="preserve">  •  /:  Accredited &amp; Verified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